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8"/>
        <w:gridCol w:w="2456"/>
        <w:gridCol w:w="966"/>
        <w:gridCol w:w="1073"/>
        <w:gridCol w:w="2705"/>
        <w:tblGridChange w:id="0">
          <w:tblGrid>
            <w:gridCol w:w="1698"/>
            <w:gridCol w:w="2456"/>
            <w:gridCol w:w="966"/>
            <w:gridCol w:w="1073"/>
            <w:gridCol w:w="2705"/>
          </w:tblGrid>
        </w:tblGridChange>
      </w:tblGrid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vertAlign w:val="baseline"/>
                <w:rtl w:val="0"/>
              </w:rPr>
              <w:t xml:space="preserve">Sample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vertAlign w:val="baseline"/>
                <w:rtl w:val="0"/>
              </w:rPr>
              <w:t xml:space="preserve">Concentration (ng/uL)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vertAlign w:val="baseline"/>
                <w:rtl w:val="0"/>
              </w:rPr>
              <w:t xml:space="preserve">A260/28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vertAlign w:val="baseline"/>
                <w:rtl w:val="0"/>
              </w:rPr>
              <w:t xml:space="preserve">A260/230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vertAlign w:val="baseline"/>
                <w:rtl w:val="0"/>
              </w:rPr>
              <w:t xml:space="preserve">Qubit Concentration (ng/uL)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label the tube for each of the samples according to the list above.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mention the solution of the mixture other than EB Buffer or Deionized/Ultrapure Water.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ensure there is a minimum volume of 50uL of liquid in the tube, samples that do not meet the requirement will not be accepted.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ensure all the information above is filled.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Please attach Gel Electrophoresis image if there is any.</w:t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M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duw1qKZsplWpI/73UTHksOtsKw==">AMUW2mW9ydw8JGcXvpgQZtzeU6dS42rzywqGawpqgASXEIDCW/ueLukbkRbDazbP0lIvPghuQWon7wLrDm2QSXlP/Ht3KziPwZd4VrD/c9bst3qVxCu1BLaDdIlfsuHRQFmDL4URS6Ky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2022-06-12T14:59:00Z</dcterms:created>
  <dc:creator>lynet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417C2F5872BC41D8BD6146723DB12E42</vt:lpwstr>
  </property>
</Properties>
</file>